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A265" w14:textId="6BC3E030" w:rsidR="004A180A" w:rsidRPr="00B82DD8" w:rsidRDefault="00540057">
      <w:pPr>
        <w:pStyle w:val="Heading1"/>
        <w:rPr>
          <w:sz w:val="36"/>
          <w:szCs w:val="36"/>
        </w:rPr>
      </w:pPr>
      <w:r w:rsidRPr="00B82DD8">
        <w:rPr>
          <w:sz w:val="36"/>
          <w:szCs w:val="36"/>
        </w:rPr>
        <w:t>Rewilding in Practice</w:t>
      </w:r>
      <w:r w:rsidR="0041358B">
        <w:rPr>
          <w:sz w:val="36"/>
          <w:szCs w:val="36"/>
        </w:rPr>
        <w:t>:</w:t>
      </w:r>
      <w:r w:rsidR="00484A9A">
        <w:rPr>
          <w:sz w:val="36"/>
          <w:szCs w:val="36"/>
        </w:rPr>
        <w:t xml:space="preserve"> Plant Communities</w:t>
      </w:r>
    </w:p>
    <w:p w14:paraId="4406BC9B" w14:textId="77777777" w:rsidR="004A180A" w:rsidRPr="007E724D" w:rsidRDefault="00540057">
      <w:pPr>
        <w:rPr>
          <w:sz w:val="24"/>
          <w:szCs w:val="24"/>
        </w:rPr>
      </w:pPr>
      <w:r w:rsidRPr="007E724D">
        <w:rPr>
          <w:i/>
          <w:sz w:val="24"/>
          <w:szCs w:val="24"/>
        </w:rPr>
        <w:t>Mid-Atlantic Plant Communities (Zones 6–7)</w:t>
      </w:r>
    </w:p>
    <w:p w14:paraId="31EC5F67" w14:textId="77777777" w:rsidR="004A180A" w:rsidRPr="00D25D39" w:rsidRDefault="00540057">
      <w:pPr>
        <w:pStyle w:val="Heading2"/>
        <w:rPr>
          <w:sz w:val="28"/>
          <w:szCs w:val="28"/>
        </w:rPr>
      </w:pPr>
      <w:r w:rsidRPr="00D25D39">
        <w:rPr>
          <w:sz w:val="28"/>
          <w:szCs w:val="28"/>
        </w:rPr>
        <w:t>1. Dry Meadow / Transition Edge Community</w:t>
      </w:r>
    </w:p>
    <w:p w14:paraId="5414D22D" w14:textId="77777777" w:rsidR="004A180A" w:rsidRDefault="00540057">
      <w:r>
        <w:t xml:space="preserve">The dry meadow or transition edge community reflects the ecotone between open grassland and woodland systems common throughout the Mid-Atlantic. </w:t>
      </w:r>
      <w:proofErr w:type="gramStart"/>
      <w:r>
        <w:t>Ecotones—</w:t>
      </w:r>
      <w:proofErr w:type="gramEnd"/>
      <w:r>
        <w:t xml:space="preserve">where two </w:t>
      </w:r>
      <w:proofErr w:type="gramStart"/>
      <w:r>
        <w:t>ecosystems meet—</w:t>
      </w:r>
      <w:proofErr w:type="gramEnd"/>
      <w:r>
        <w:t xml:space="preserve">are consistently the most biodiverse zones in temperate regions due to overlapping </w:t>
      </w:r>
      <w:proofErr w:type="gramStart"/>
      <w:r>
        <w:t>species</w:t>
      </w:r>
      <w:proofErr w:type="gramEnd"/>
      <w:r>
        <w:t xml:space="preserve"> niches.</w:t>
      </w:r>
    </w:p>
    <w:p w14:paraId="3DCFE76F" w14:textId="77777777" w:rsidR="004A180A" w:rsidRPr="00D25D39" w:rsidRDefault="00540057">
      <w:pPr>
        <w:pStyle w:val="Heading3"/>
        <w:rPr>
          <w:sz w:val="28"/>
          <w:szCs w:val="28"/>
        </w:rPr>
      </w:pPr>
      <w:r w:rsidRPr="00D25D39">
        <w:rPr>
          <w:sz w:val="28"/>
          <w:szCs w:val="28"/>
        </w:rPr>
        <w:t>Ecological Foundations</w:t>
      </w:r>
    </w:p>
    <w:p w14:paraId="6BEE540E" w14:textId="77777777" w:rsidR="004A180A" w:rsidRDefault="00540057">
      <w:r>
        <w:t>• Root Architecture Diversity: Warm-season grasses such as little bluestem (</w:t>
      </w:r>
      <w:r>
        <w:rPr>
          <w:i/>
        </w:rPr>
        <w:t>Schizachyrium scoparium</w:t>
      </w:r>
      <w:r>
        <w:t>) develop root systems exceeding 6–8 feet deep, improving soil aggregation, water infiltration, and long-term carbon sequestration.</w:t>
      </w:r>
    </w:p>
    <w:p w14:paraId="311B88E9" w14:textId="77777777" w:rsidR="004A180A" w:rsidRDefault="00540057">
      <w:r>
        <w:t>• Successional Stability: Perennial matrices reduce disturbance cycles by occupying soil niches that would otherwise invite opportunistic weeds.</w:t>
      </w:r>
    </w:p>
    <w:p w14:paraId="086014CF" w14:textId="77777777" w:rsidR="004A180A" w:rsidRDefault="00540057">
      <w:r>
        <w:t>• Pollinator Trophic Support: Staggered bloom periods sustain native bees, predatory wasps, butterflies, and beneficial insects across multiple life stages.</w:t>
      </w:r>
    </w:p>
    <w:p w14:paraId="690B0B95" w14:textId="77777777" w:rsidR="004A180A" w:rsidRDefault="00540057">
      <w:r>
        <w:t>• Winter Habitat Function: Standing stems provide overwintering chambers for solitary bees and shelter for beneficial insects.</w:t>
      </w:r>
    </w:p>
    <w:p w14:paraId="67C850C8" w14:textId="77777777" w:rsidR="004A180A" w:rsidRPr="00D25D39" w:rsidRDefault="00540057">
      <w:pPr>
        <w:pStyle w:val="Heading3"/>
        <w:rPr>
          <w:sz w:val="28"/>
          <w:szCs w:val="28"/>
        </w:rPr>
      </w:pPr>
      <w:r w:rsidRPr="00D25D39">
        <w:rPr>
          <w:sz w:val="28"/>
          <w:szCs w:val="28"/>
        </w:rPr>
        <w:t>Structural Framework</w:t>
      </w:r>
    </w:p>
    <w:p w14:paraId="0ACFF9F4" w14:textId="6CAB1D19" w:rsidR="004A180A" w:rsidRPr="00BA00F3" w:rsidRDefault="00540057">
      <w:pPr>
        <w:rPr>
          <w:i/>
          <w:iCs/>
        </w:rPr>
      </w:pPr>
      <w:r w:rsidRPr="00B82DD8">
        <w:rPr>
          <w:b/>
          <w:bCs/>
        </w:rPr>
        <w:t>Matrix Layer (40–60%)</w:t>
      </w:r>
      <w:r>
        <w:t>: Little bluestem (</w:t>
      </w:r>
      <w:r>
        <w:rPr>
          <w:i/>
        </w:rPr>
        <w:t>Schizachyrium scoparium</w:t>
      </w:r>
      <w:r>
        <w:t>), Prairie dropseed (</w:t>
      </w:r>
      <w:r>
        <w:rPr>
          <w:i/>
        </w:rPr>
        <w:t>Sporobolus heterolepis</w:t>
      </w:r>
      <w:r>
        <w:t>), Pennsylvania sedge (</w:t>
      </w:r>
      <w:r>
        <w:rPr>
          <w:i/>
        </w:rPr>
        <w:t>Carex pensylvanica</w:t>
      </w:r>
      <w:r>
        <w:t>), Side-oats grama (</w:t>
      </w:r>
      <w:r>
        <w:rPr>
          <w:i/>
        </w:rPr>
        <w:t>Bouteloua curtipendula</w:t>
      </w:r>
      <w:r>
        <w:t>)</w:t>
      </w:r>
      <w:r w:rsidR="007E724D">
        <w:t>, Switchgrass (</w:t>
      </w:r>
      <w:r w:rsidR="007E724D" w:rsidRPr="007E724D">
        <w:rPr>
          <w:i/>
          <w:iCs/>
        </w:rPr>
        <w:t>Panicum virgatum</w:t>
      </w:r>
      <w:r w:rsidR="007E724D">
        <w:t>)</w:t>
      </w:r>
      <w:r w:rsidR="00435BE3">
        <w:t xml:space="preserve"> Purple </w:t>
      </w:r>
      <w:r w:rsidR="00917324">
        <w:t>lovegrass (</w:t>
      </w:r>
      <w:r w:rsidR="00917324" w:rsidRPr="00BA00F3">
        <w:rPr>
          <w:i/>
          <w:iCs/>
        </w:rPr>
        <w:t>Eragrostis spectabilis)</w:t>
      </w:r>
    </w:p>
    <w:p w14:paraId="3DE7215B" w14:textId="482A7752" w:rsidR="004707C6" w:rsidRPr="0093471F" w:rsidRDefault="00540057">
      <w:pPr>
        <w:rPr>
          <w:i/>
          <w:iCs/>
        </w:rPr>
      </w:pPr>
      <w:r w:rsidRPr="00B82DD8">
        <w:rPr>
          <w:b/>
          <w:bCs/>
        </w:rPr>
        <w:t>Seasonal Forbs (30–40%):</w:t>
      </w:r>
      <w:r>
        <w:t xml:space="preserve"> Purple coneflower (</w:t>
      </w:r>
      <w:r>
        <w:rPr>
          <w:i/>
        </w:rPr>
        <w:t>Echinacea purpurea</w:t>
      </w:r>
      <w:r>
        <w:t>), Wild bergamot (</w:t>
      </w:r>
      <w:r>
        <w:rPr>
          <w:i/>
        </w:rPr>
        <w:t>Monarda fistulosa</w:t>
      </w:r>
      <w:r>
        <w:t>), Rough goldenrod (</w:t>
      </w:r>
      <w:r>
        <w:rPr>
          <w:i/>
        </w:rPr>
        <w:t>Solidago rugosa</w:t>
      </w:r>
      <w:r>
        <w:t>), New England aster (</w:t>
      </w:r>
      <w:r>
        <w:rPr>
          <w:i/>
        </w:rPr>
        <w:t>Symphyotrichum novae-angliae</w:t>
      </w:r>
      <w:r>
        <w:t>)</w:t>
      </w:r>
      <w:r w:rsidR="004707C6">
        <w:t xml:space="preserve">, Anise Hyssop </w:t>
      </w:r>
      <w:r w:rsidR="004707C6" w:rsidRPr="004707C6">
        <w:rPr>
          <w:i/>
          <w:iCs/>
        </w:rPr>
        <w:t xml:space="preserve">(Agastache </w:t>
      </w:r>
      <w:r w:rsidR="00D25D39">
        <w:rPr>
          <w:i/>
          <w:iCs/>
        </w:rPr>
        <w:t>f</w:t>
      </w:r>
      <w:r w:rsidR="004707C6" w:rsidRPr="004707C6">
        <w:rPr>
          <w:i/>
          <w:iCs/>
        </w:rPr>
        <w:t>oeniculum)</w:t>
      </w:r>
      <w:r w:rsidR="004707C6">
        <w:rPr>
          <w:i/>
          <w:iCs/>
        </w:rPr>
        <w:t xml:space="preserve">, </w:t>
      </w:r>
      <w:r w:rsidR="004707C6">
        <w:t>Butterfly Weed (</w:t>
      </w:r>
      <w:r w:rsidR="004707C6" w:rsidRPr="004707C6">
        <w:rPr>
          <w:i/>
          <w:iCs/>
        </w:rPr>
        <w:t>Asclepias tuberosa</w:t>
      </w:r>
      <w:r w:rsidR="004707C6">
        <w:rPr>
          <w:i/>
          <w:iCs/>
        </w:rPr>
        <w:t>)</w:t>
      </w:r>
      <w:r w:rsidR="00D25D39">
        <w:rPr>
          <w:i/>
          <w:iCs/>
        </w:rPr>
        <w:t xml:space="preserve">, </w:t>
      </w:r>
      <w:r w:rsidR="00D25D39">
        <w:t>Nodding Onion (</w:t>
      </w:r>
      <w:r w:rsidR="00D25D39" w:rsidRPr="00D25D39">
        <w:rPr>
          <w:i/>
          <w:iCs/>
        </w:rPr>
        <w:t>Allium cern</w:t>
      </w:r>
      <w:r w:rsidR="00D25D39">
        <w:rPr>
          <w:i/>
          <w:iCs/>
        </w:rPr>
        <w:t>u</w:t>
      </w:r>
      <w:r w:rsidR="00D25D39" w:rsidRPr="00D25D39">
        <w:rPr>
          <w:i/>
          <w:iCs/>
        </w:rPr>
        <w:t>um</w:t>
      </w:r>
      <w:r w:rsidR="00D25D39">
        <w:t>)</w:t>
      </w:r>
      <w:r w:rsidR="00A5003B">
        <w:t xml:space="preserve">, </w:t>
      </w:r>
      <w:r w:rsidR="001647D8">
        <w:t>Lanceleaf Tickseed (</w:t>
      </w:r>
      <w:r w:rsidR="00A5003B" w:rsidRPr="0093471F">
        <w:rPr>
          <w:i/>
          <w:iCs/>
        </w:rPr>
        <w:t xml:space="preserve">Coreopsis </w:t>
      </w:r>
      <w:r w:rsidR="00753DF3" w:rsidRPr="0093471F">
        <w:rPr>
          <w:i/>
          <w:iCs/>
        </w:rPr>
        <w:t>lance</w:t>
      </w:r>
      <w:r w:rsidR="00314F08">
        <w:rPr>
          <w:i/>
          <w:iCs/>
        </w:rPr>
        <w:t>o</w:t>
      </w:r>
      <w:r w:rsidR="00753DF3" w:rsidRPr="0093471F">
        <w:rPr>
          <w:i/>
          <w:iCs/>
        </w:rPr>
        <w:t>l</w:t>
      </w:r>
      <w:r w:rsidR="0093471F" w:rsidRPr="0093471F">
        <w:rPr>
          <w:i/>
          <w:iCs/>
        </w:rPr>
        <w:t>ata</w:t>
      </w:r>
      <w:r w:rsidR="00753DF3" w:rsidRPr="0093471F">
        <w:rPr>
          <w:i/>
          <w:iCs/>
        </w:rPr>
        <w:t>)</w:t>
      </w:r>
      <w:r w:rsidR="00D25D39" w:rsidRPr="0093471F">
        <w:rPr>
          <w:i/>
          <w:iCs/>
        </w:rPr>
        <w:t xml:space="preserve"> </w:t>
      </w:r>
    </w:p>
    <w:p w14:paraId="191D9D5E" w14:textId="18B60B3B" w:rsidR="004A180A" w:rsidRPr="00F923D3" w:rsidRDefault="00540057">
      <w:pPr>
        <w:rPr>
          <w:i/>
          <w:iCs/>
        </w:rPr>
      </w:pPr>
      <w:r w:rsidRPr="00B82DD8">
        <w:rPr>
          <w:b/>
          <w:bCs/>
        </w:rPr>
        <w:t>Structural Accents (10–15%):</w:t>
      </w:r>
      <w:r>
        <w:t xml:space="preserve"> Blue false indigo (</w:t>
      </w:r>
      <w:r>
        <w:rPr>
          <w:i/>
        </w:rPr>
        <w:t>Baptisia australis</w:t>
      </w:r>
      <w:r>
        <w:t>), Mountain mint (</w:t>
      </w:r>
      <w:r>
        <w:rPr>
          <w:i/>
        </w:rPr>
        <w:t>Pycnanthemum muticum</w:t>
      </w:r>
      <w:r>
        <w:t>), Threadleaf bluestar (</w:t>
      </w:r>
      <w:r>
        <w:rPr>
          <w:i/>
        </w:rPr>
        <w:t>Amsonia hubrichtii</w:t>
      </w:r>
      <w:r>
        <w:t>), Sweet black-eyed Susan (</w:t>
      </w:r>
      <w:r>
        <w:rPr>
          <w:i/>
        </w:rPr>
        <w:t>Rudbeckia subtomentosa</w:t>
      </w:r>
      <w:r>
        <w:t>)</w:t>
      </w:r>
      <w:r w:rsidR="007E724D">
        <w:t xml:space="preserve"> or Black -eyed Susan (Rudbeckia hirta), Blazing Star (</w:t>
      </w:r>
      <w:r w:rsidR="007E724D" w:rsidRPr="007E724D">
        <w:rPr>
          <w:i/>
          <w:iCs/>
        </w:rPr>
        <w:t>Liatris ligulistylis, spicata)</w:t>
      </w:r>
      <w:r w:rsidR="007E724D">
        <w:rPr>
          <w:i/>
          <w:iCs/>
        </w:rPr>
        <w:t xml:space="preserve">, </w:t>
      </w:r>
      <w:r w:rsidR="004707C6">
        <w:t>Rattlesnake Master (</w:t>
      </w:r>
      <w:r w:rsidR="004707C6" w:rsidRPr="004707C6">
        <w:rPr>
          <w:i/>
          <w:iCs/>
        </w:rPr>
        <w:t>Eryngium yuccifolium)</w:t>
      </w:r>
      <w:r w:rsidR="0077380E">
        <w:rPr>
          <w:i/>
          <w:iCs/>
        </w:rPr>
        <w:t xml:space="preserve">, </w:t>
      </w:r>
      <w:r w:rsidR="00A5003B">
        <w:t xml:space="preserve">Azure Blue Sage </w:t>
      </w:r>
      <w:r w:rsidR="00F923D3">
        <w:rPr>
          <w:i/>
          <w:iCs/>
        </w:rPr>
        <w:t>(</w:t>
      </w:r>
      <w:r w:rsidR="0077380E" w:rsidRPr="00F923D3">
        <w:rPr>
          <w:i/>
          <w:iCs/>
        </w:rPr>
        <w:t>Salvia azura</w:t>
      </w:r>
      <w:r w:rsidR="00F923D3">
        <w:rPr>
          <w:i/>
          <w:iCs/>
        </w:rPr>
        <w:t>)</w:t>
      </w:r>
      <w:r w:rsidR="0077380E" w:rsidRPr="00F923D3">
        <w:rPr>
          <w:i/>
          <w:iCs/>
        </w:rPr>
        <w:t xml:space="preserve"> </w:t>
      </w:r>
    </w:p>
    <w:p w14:paraId="2A34A3E1" w14:textId="36D928AA" w:rsidR="004A180A" w:rsidRDefault="00540057">
      <w:r w:rsidRPr="00B82DD8">
        <w:rPr>
          <w:b/>
          <w:bCs/>
        </w:rPr>
        <w:lastRenderedPageBreak/>
        <w:t>Scientific Principle</w:t>
      </w:r>
      <w:r>
        <w:t>: Functional diversity increases resilience. When root depths, bloom times, and growth habits vary, resource competition is minimized and system stability improves.</w:t>
      </w:r>
    </w:p>
    <w:p w14:paraId="407FB64C" w14:textId="77777777" w:rsidR="004A180A" w:rsidRDefault="00540057">
      <w:pPr>
        <w:pStyle w:val="Heading2"/>
      </w:pPr>
      <w:r>
        <w:t>2. Woodland Edge Community</w:t>
      </w:r>
    </w:p>
    <w:p w14:paraId="7E8146FD" w14:textId="77777777" w:rsidR="004A180A" w:rsidRDefault="00540057">
      <w:r>
        <w:t>Woodland edge systems represent transitional forest margins where canopy, shrub, and herbaceous layers overlap. These zones support high biodiversity due to vertical stratification and microclimate variation.</w:t>
      </w:r>
    </w:p>
    <w:p w14:paraId="408D5FC1" w14:textId="77777777" w:rsidR="004A180A" w:rsidRDefault="00540057">
      <w:pPr>
        <w:pStyle w:val="Heading3"/>
      </w:pPr>
      <w:r>
        <w:t>Ecological Foundations</w:t>
      </w:r>
    </w:p>
    <w:p w14:paraId="0A9F5518" w14:textId="77777777" w:rsidR="004A180A" w:rsidRDefault="00540057">
      <w:r w:rsidRPr="00B82DD8">
        <w:rPr>
          <w:b/>
          <w:bCs/>
        </w:rPr>
        <w:t>• Edge Effect</w:t>
      </w:r>
      <w:r>
        <w:t>: Increased sunlight at forest margins enhances flowering density while retaining woodland moisture regimes.</w:t>
      </w:r>
    </w:p>
    <w:p w14:paraId="1D90355D" w14:textId="77777777" w:rsidR="004A180A" w:rsidRDefault="00540057">
      <w:r>
        <w:t xml:space="preserve">• </w:t>
      </w:r>
      <w:r w:rsidRPr="00B82DD8">
        <w:rPr>
          <w:b/>
          <w:bCs/>
        </w:rPr>
        <w:t>Mycorrhizal Networks</w:t>
      </w:r>
      <w:r>
        <w:t>: Woodland soils are dominated by fungal associations that facilitate nutrient exchange between trees, shrubs, and perennials.</w:t>
      </w:r>
    </w:p>
    <w:p w14:paraId="405BFABD" w14:textId="77777777" w:rsidR="004A180A" w:rsidRDefault="00540057">
      <w:r>
        <w:t xml:space="preserve">• </w:t>
      </w:r>
      <w:r w:rsidRPr="00B82DD8">
        <w:rPr>
          <w:b/>
          <w:bCs/>
        </w:rPr>
        <w:t>Hydrological Buffering</w:t>
      </w:r>
      <w:r>
        <w:t>: Layered roots slow surface runoff and improve infiltration during storm events.</w:t>
      </w:r>
    </w:p>
    <w:p w14:paraId="23AF0937" w14:textId="77777777" w:rsidR="004A180A" w:rsidRDefault="00540057">
      <w:r>
        <w:t xml:space="preserve">• </w:t>
      </w:r>
      <w:r w:rsidRPr="00B82DD8">
        <w:rPr>
          <w:b/>
          <w:bCs/>
        </w:rPr>
        <w:t>Avian Habitat Structure</w:t>
      </w:r>
      <w:r>
        <w:t>: Multi-tiered planting provides nesting zones, cover from predators, and berry resources for migratory birds.</w:t>
      </w:r>
    </w:p>
    <w:p w14:paraId="0D0153AF" w14:textId="77777777" w:rsidR="004A180A" w:rsidRDefault="00540057">
      <w:pPr>
        <w:pStyle w:val="Heading3"/>
      </w:pPr>
      <w:r>
        <w:t>Structural Framework</w:t>
      </w:r>
    </w:p>
    <w:p w14:paraId="06F405BE" w14:textId="6217B1B5" w:rsidR="004A180A" w:rsidRDefault="00540057">
      <w:r w:rsidRPr="00B82DD8">
        <w:rPr>
          <w:b/>
          <w:bCs/>
        </w:rPr>
        <w:t>Understory Canopy</w:t>
      </w:r>
      <w:r w:rsidR="00B82DD8">
        <w:rPr>
          <w:b/>
          <w:bCs/>
        </w:rPr>
        <w:t xml:space="preserve"> (15-25%)</w:t>
      </w:r>
      <w:r>
        <w:t>: Serviceberry (</w:t>
      </w:r>
      <w:r>
        <w:rPr>
          <w:i/>
        </w:rPr>
        <w:t>Amelanchier canadensis</w:t>
      </w:r>
      <w:r>
        <w:t>), Eastern redbud (</w:t>
      </w:r>
      <w:r>
        <w:rPr>
          <w:i/>
        </w:rPr>
        <w:t>Cercis canadensis</w:t>
      </w:r>
      <w:r>
        <w:t>), Flowering dogwood (</w:t>
      </w:r>
      <w:r>
        <w:rPr>
          <w:i/>
        </w:rPr>
        <w:t>Cornus florida</w:t>
      </w:r>
      <w:r>
        <w:t>), American hornbeam (</w:t>
      </w:r>
      <w:r>
        <w:rPr>
          <w:i/>
        </w:rPr>
        <w:t>Carpinus caroliniana</w:t>
      </w:r>
      <w:r>
        <w:t>)</w:t>
      </w:r>
      <w:r w:rsidR="009E7049">
        <w:t xml:space="preserve">, </w:t>
      </w:r>
      <w:r w:rsidR="00B82DD8">
        <w:t>Blackhaw Viburnum (</w:t>
      </w:r>
      <w:r w:rsidR="00B82DD8" w:rsidRPr="00B82DD8">
        <w:rPr>
          <w:i/>
          <w:iCs/>
        </w:rPr>
        <w:t>Viburnum prunifolium)</w:t>
      </w:r>
      <w:r w:rsidR="00B82DD8">
        <w:t xml:space="preserve"> </w:t>
      </w:r>
    </w:p>
    <w:p w14:paraId="3D86FD32" w14:textId="1FB7BE82" w:rsidR="009E7049" w:rsidRDefault="00540057" w:rsidP="009E7049">
      <w:r w:rsidRPr="00B82DD8">
        <w:rPr>
          <w:b/>
          <w:bCs/>
        </w:rPr>
        <w:t>Shrub Layer</w:t>
      </w:r>
      <w:r w:rsidR="00B82DD8">
        <w:rPr>
          <w:b/>
          <w:bCs/>
        </w:rPr>
        <w:t xml:space="preserve"> 30-40%)</w:t>
      </w:r>
      <w:r>
        <w:t>: Oakleaf hydrangea (</w:t>
      </w:r>
      <w:r>
        <w:rPr>
          <w:i/>
        </w:rPr>
        <w:t>Hydrangea quercifolia</w:t>
      </w:r>
      <w:r>
        <w:t>), Arrowwood viburnum (</w:t>
      </w:r>
      <w:r>
        <w:rPr>
          <w:i/>
        </w:rPr>
        <w:t>Viburnum dentatum</w:t>
      </w:r>
      <w:r>
        <w:t>), Summersweet (</w:t>
      </w:r>
      <w:r>
        <w:rPr>
          <w:i/>
        </w:rPr>
        <w:t>Clethra alnifolia</w:t>
      </w:r>
      <w:r>
        <w:t>), Winterberry (</w:t>
      </w:r>
      <w:r>
        <w:rPr>
          <w:i/>
        </w:rPr>
        <w:t>Ilex verticillata</w:t>
      </w:r>
      <w:r>
        <w:t>)</w:t>
      </w:r>
      <w:r w:rsidR="009E7049">
        <w:t>,</w:t>
      </w:r>
      <w:r w:rsidR="009E7049" w:rsidRPr="009E7049">
        <w:t xml:space="preserve"> </w:t>
      </w:r>
      <w:r w:rsidR="009E7049">
        <w:t xml:space="preserve">Pussy Willow </w:t>
      </w:r>
      <w:r w:rsidR="009E7049" w:rsidRPr="009E7049">
        <w:rPr>
          <w:i/>
          <w:iCs/>
        </w:rPr>
        <w:t>(Salix discolor</w:t>
      </w:r>
      <w:r w:rsidR="009E7049">
        <w:t>).</w:t>
      </w:r>
    </w:p>
    <w:p w14:paraId="6E6FE2F6" w14:textId="59F12CAC" w:rsidR="004A180A" w:rsidRPr="009E7049" w:rsidRDefault="00540057">
      <w:pPr>
        <w:rPr>
          <w:i/>
          <w:iCs/>
        </w:rPr>
      </w:pPr>
      <w:r w:rsidRPr="00B82DD8">
        <w:rPr>
          <w:b/>
          <w:bCs/>
        </w:rPr>
        <w:t>Matrix / Living Ground</w:t>
      </w:r>
      <w:r>
        <w:t xml:space="preserve"> </w:t>
      </w:r>
      <w:r w:rsidRPr="00B82DD8">
        <w:rPr>
          <w:b/>
          <w:bCs/>
        </w:rPr>
        <w:t>(</w:t>
      </w:r>
      <w:r w:rsidR="00B82DD8">
        <w:rPr>
          <w:b/>
          <w:bCs/>
        </w:rPr>
        <w:t>30-40</w:t>
      </w:r>
      <w:r w:rsidRPr="00B82DD8">
        <w:rPr>
          <w:b/>
          <w:bCs/>
        </w:rPr>
        <w:t>%):</w:t>
      </w:r>
      <w:r>
        <w:t xml:space="preserve"> Pennsylvania sedge (</w:t>
      </w:r>
      <w:r>
        <w:rPr>
          <w:i/>
        </w:rPr>
        <w:t>Carex pensylvanica</w:t>
      </w:r>
      <w:r>
        <w:t>), Appalachian sedge (</w:t>
      </w:r>
      <w:r>
        <w:rPr>
          <w:i/>
        </w:rPr>
        <w:t>Carex appalachica</w:t>
      </w:r>
      <w:r>
        <w:t>), Golden ragwort (</w:t>
      </w:r>
      <w:r>
        <w:rPr>
          <w:i/>
        </w:rPr>
        <w:t>Packera aurea</w:t>
      </w:r>
      <w:r>
        <w:t>), American alumroot (</w:t>
      </w:r>
      <w:r>
        <w:rPr>
          <w:i/>
        </w:rPr>
        <w:t>Heuchera americana</w:t>
      </w:r>
      <w:r>
        <w:t>)</w:t>
      </w:r>
      <w:r w:rsidR="009E7049">
        <w:t xml:space="preserve">, White Wood Aster </w:t>
      </w:r>
      <w:r w:rsidR="009E7049" w:rsidRPr="009E7049">
        <w:rPr>
          <w:i/>
          <w:iCs/>
        </w:rPr>
        <w:t>(Eurybia divarticata)</w:t>
      </w:r>
      <w:r w:rsidR="009E7049">
        <w:rPr>
          <w:i/>
          <w:iCs/>
        </w:rPr>
        <w:t xml:space="preserve">, </w:t>
      </w:r>
      <w:r w:rsidR="009E7049">
        <w:t xml:space="preserve">Wild Ginger </w:t>
      </w:r>
      <w:r w:rsidR="009E7049" w:rsidRPr="009E7049">
        <w:rPr>
          <w:i/>
          <w:iCs/>
        </w:rPr>
        <w:t>(Asarum can</w:t>
      </w:r>
      <w:r w:rsidR="009E7049">
        <w:rPr>
          <w:i/>
          <w:iCs/>
        </w:rPr>
        <w:t>a</w:t>
      </w:r>
      <w:r w:rsidR="009E7049" w:rsidRPr="009E7049">
        <w:rPr>
          <w:i/>
          <w:iCs/>
        </w:rPr>
        <w:t>dense)</w:t>
      </w:r>
      <w:r w:rsidR="009E7049">
        <w:rPr>
          <w:i/>
          <w:iCs/>
        </w:rPr>
        <w:t>,</w:t>
      </w:r>
      <w:r w:rsidR="009E7049">
        <w:t xml:space="preserve"> Foamflower (</w:t>
      </w:r>
      <w:r w:rsidR="009E7049" w:rsidRPr="009E7049">
        <w:rPr>
          <w:i/>
          <w:iCs/>
        </w:rPr>
        <w:t>Tiarella cordifolia</w:t>
      </w:r>
      <w:r w:rsidR="009E7049">
        <w:t>)</w:t>
      </w:r>
      <w:r w:rsidR="009E7049" w:rsidRPr="009E7049">
        <w:rPr>
          <w:i/>
          <w:iCs/>
        </w:rPr>
        <w:t>.</w:t>
      </w:r>
    </w:p>
    <w:p w14:paraId="5562F120" w14:textId="76D03172" w:rsidR="004A180A" w:rsidRDefault="00540057">
      <w:r w:rsidRPr="00B82DD8">
        <w:rPr>
          <w:b/>
          <w:bCs/>
        </w:rPr>
        <w:t>Seasonal Perennials</w:t>
      </w:r>
      <w:r w:rsidR="00B82DD8">
        <w:rPr>
          <w:b/>
          <w:bCs/>
        </w:rPr>
        <w:t xml:space="preserve"> (5-15% woven through)</w:t>
      </w:r>
      <w:r w:rsidRPr="00B82DD8">
        <w:rPr>
          <w:b/>
          <w:bCs/>
        </w:rPr>
        <w:t>:</w:t>
      </w:r>
      <w:r>
        <w:t xml:space="preserve"> </w:t>
      </w:r>
      <w:r w:rsidR="009E7049">
        <w:t xml:space="preserve">Virginia bluebells </w:t>
      </w:r>
      <w:proofErr w:type="gramStart"/>
      <w:r w:rsidR="009E7049">
        <w:t>( Mertensia</w:t>
      </w:r>
      <w:proofErr w:type="gramEnd"/>
      <w:r w:rsidR="009E7049">
        <w:t xml:space="preserve"> virginica)</w:t>
      </w:r>
      <w:r w:rsidR="00B82DD8">
        <w:t xml:space="preserve">, </w:t>
      </w:r>
      <w:r>
        <w:t>Wild columbine (</w:t>
      </w:r>
      <w:r>
        <w:rPr>
          <w:i/>
        </w:rPr>
        <w:t>Aquilegia canadensis</w:t>
      </w:r>
      <w:r>
        <w:t>), Wild geranium (</w:t>
      </w:r>
      <w:r>
        <w:rPr>
          <w:i/>
        </w:rPr>
        <w:t>Geranium maculatum</w:t>
      </w:r>
      <w:r>
        <w:t>), Solomon’s seal (</w:t>
      </w:r>
      <w:r>
        <w:rPr>
          <w:i/>
        </w:rPr>
        <w:t>Polygonatum biflorum</w:t>
      </w:r>
      <w:r>
        <w:t>), Blue wood aster (</w:t>
      </w:r>
      <w:r>
        <w:rPr>
          <w:i/>
        </w:rPr>
        <w:t>Symphyotrichum cordifolium</w:t>
      </w:r>
      <w:r>
        <w:t>)</w:t>
      </w:r>
      <w:r w:rsidR="009E7049">
        <w:t>, Indian Pink (</w:t>
      </w:r>
      <w:r w:rsidR="009E7049" w:rsidRPr="009E7049">
        <w:rPr>
          <w:i/>
          <w:iCs/>
        </w:rPr>
        <w:t>Spigelia marilandica</w:t>
      </w:r>
      <w:r w:rsidR="009E7049">
        <w:t>)</w:t>
      </w:r>
      <w:r>
        <w:t>.</w:t>
      </w:r>
    </w:p>
    <w:p w14:paraId="4FC938E8" w14:textId="77777777" w:rsidR="004A180A" w:rsidRDefault="00540057">
      <w:r w:rsidRPr="00B82DD8">
        <w:rPr>
          <w:b/>
          <w:bCs/>
        </w:rPr>
        <w:t>Scientific Principle</w:t>
      </w:r>
      <w:r>
        <w:t>: Vertical layering mimics natural forest structure. By recreating canopy, shrub, and ground strata, designers restore ecological function while maintaining aesthetic legibility.</w:t>
      </w:r>
    </w:p>
    <w:sectPr w:rsidR="004A180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843F" w14:textId="77777777" w:rsidR="00200B82" w:rsidRDefault="00200B82" w:rsidP="00B82DD8">
      <w:pPr>
        <w:spacing w:after="0" w:line="240" w:lineRule="auto"/>
      </w:pPr>
      <w:r>
        <w:separator/>
      </w:r>
    </w:p>
  </w:endnote>
  <w:endnote w:type="continuationSeparator" w:id="0">
    <w:p w14:paraId="55BE3432" w14:textId="77777777" w:rsidR="00200B82" w:rsidRDefault="00200B82" w:rsidP="00B8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5F39" w14:textId="77777777" w:rsidR="00200B82" w:rsidRDefault="00200B82" w:rsidP="00B82DD8">
      <w:pPr>
        <w:spacing w:after="0" w:line="240" w:lineRule="auto"/>
      </w:pPr>
      <w:r>
        <w:separator/>
      </w:r>
    </w:p>
  </w:footnote>
  <w:footnote w:type="continuationSeparator" w:id="0">
    <w:p w14:paraId="7C72F5B8" w14:textId="77777777" w:rsidR="00200B82" w:rsidRDefault="00200B82" w:rsidP="00B8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B83B" w14:textId="77777777" w:rsidR="00B82DD8" w:rsidRPr="009E7049" w:rsidRDefault="00B82DD8" w:rsidP="00B82DD8">
    <w:pPr>
      <w:spacing w:after="0"/>
      <w:rPr>
        <w:b/>
        <w:bCs/>
        <w:sz w:val="24"/>
        <w:szCs w:val="24"/>
      </w:rPr>
    </w:pPr>
    <w:r w:rsidRPr="009E7049">
      <w:rPr>
        <w:b/>
        <w:bCs/>
        <w:sz w:val="24"/>
        <w:szCs w:val="24"/>
      </w:rPr>
      <w:t>Claire Jones</w:t>
    </w:r>
  </w:p>
  <w:p w14:paraId="2B8D751E" w14:textId="77777777" w:rsidR="00B82DD8" w:rsidRDefault="00B82DD8" w:rsidP="00B82DD8">
    <w:pPr>
      <w:spacing w:after="0"/>
    </w:pPr>
    <w:r w:rsidRPr="007E724D">
      <w:rPr>
        <w:sz w:val="24"/>
        <w:szCs w:val="24"/>
      </w:rPr>
      <w:t>Maryland Certified Horticulturist | Landscape Designer | Author, The Garden</w:t>
    </w:r>
    <w:r>
      <w:rPr>
        <w:sz w:val="24"/>
        <w:szCs w:val="24"/>
      </w:rPr>
      <w:t>ing Bible, The Beekeeper’s Field Guide, The Garden</w:t>
    </w:r>
    <w:r w:rsidRPr="007E724D">
      <w:rPr>
        <w:sz w:val="24"/>
        <w:szCs w:val="24"/>
      </w:rPr>
      <w:t xml:space="preserve"> Diaries</w:t>
    </w:r>
  </w:p>
  <w:p w14:paraId="3D3B4BBF" w14:textId="77777777" w:rsidR="00B82DD8" w:rsidRDefault="00B82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086289">
    <w:abstractNumId w:val="8"/>
  </w:num>
  <w:num w:numId="2" w16cid:durableId="657465804">
    <w:abstractNumId w:val="6"/>
  </w:num>
  <w:num w:numId="3" w16cid:durableId="837886364">
    <w:abstractNumId w:val="5"/>
  </w:num>
  <w:num w:numId="4" w16cid:durableId="1509296862">
    <w:abstractNumId w:val="4"/>
  </w:num>
  <w:num w:numId="5" w16cid:durableId="777406839">
    <w:abstractNumId w:val="7"/>
  </w:num>
  <w:num w:numId="6" w16cid:durableId="442893292">
    <w:abstractNumId w:val="3"/>
  </w:num>
  <w:num w:numId="7" w16cid:durableId="1308171718">
    <w:abstractNumId w:val="2"/>
  </w:num>
  <w:num w:numId="8" w16cid:durableId="1328630416">
    <w:abstractNumId w:val="1"/>
  </w:num>
  <w:num w:numId="9" w16cid:durableId="137639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2C1"/>
    <w:rsid w:val="001647D8"/>
    <w:rsid w:val="00200B82"/>
    <w:rsid w:val="002040F9"/>
    <w:rsid w:val="0029639D"/>
    <w:rsid w:val="002B5987"/>
    <w:rsid w:val="00314F08"/>
    <w:rsid w:val="00326F90"/>
    <w:rsid w:val="00406471"/>
    <w:rsid w:val="0041358B"/>
    <w:rsid w:val="00435BE3"/>
    <w:rsid w:val="004707C6"/>
    <w:rsid w:val="00484A9A"/>
    <w:rsid w:val="004A180A"/>
    <w:rsid w:val="00540057"/>
    <w:rsid w:val="005652EB"/>
    <w:rsid w:val="00674917"/>
    <w:rsid w:val="006E6578"/>
    <w:rsid w:val="00753DF3"/>
    <w:rsid w:val="0077380E"/>
    <w:rsid w:val="007E724D"/>
    <w:rsid w:val="00917324"/>
    <w:rsid w:val="0093471F"/>
    <w:rsid w:val="00996791"/>
    <w:rsid w:val="009E7049"/>
    <w:rsid w:val="00A5003B"/>
    <w:rsid w:val="00AA1D8D"/>
    <w:rsid w:val="00B47730"/>
    <w:rsid w:val="00B82DD8"/>
    <w:rsid w:val="00BA00F3"/>
    <w:rsid w:val="00CB0664"/>
    <w:rsid w:val="00D25D39"/>
    <w:rsid w:val="00D5561A"/>
    <w:rsid w:val="00E02505"/>
    <w:rsid w:val="00F77CEF"/>
    <w:rsid w:val="00F923D3"/>
    <w:rsid w:val="00FB73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F9C75"/>
  <w14:defaultImageDpi w14:val="300"/>
  <w15:docId w15:val="{CE42B959-2D4A-4CA1-923F-3A2E9B92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Jones</cp:lastModifiedBy>
  <cp:revision>13</cp:revision>
  <cp:lastPrinted>2026-02-20T14:49:00Z</cp:lastPrinted>
  <dcterms:created xsi:type="dcterms:W3CDTF">2026-02-20T14:48:00Z</dcterms:created>
  <dcterms:modified xsi:type="dcterms:W3CDTF">2026-02-20T20:08:00Z</dcterms:modified>
  <cp:category/>
</cp:coreProperties>
</file>